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B435" w14:textId="77777777" w:rsidR="00A45D5C" w:rsidRDefault="00255F17">
      <w:pPr>
        <w:spacing w:after="10" w:line="259" w:lineRule="auto"/>
        <w:ind w:left="-1284" w:right="-127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ACFB80" wp14:editId="44393790">
                <wp:extent cx="7029450" cy="1048307"/>
                <wp:effectExtent l="0" t="0" r="0" b="0"/>
                <wp:docPr id="1819" name="Group 1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1048307"/>
                          <a:chOff x="0" y="0"/>
                          <a:chExt cx="7029450" cy="104830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3060" y="0"/>
                            <a:ext cx="6566535" cy="8921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903084"/>
                            <a:ext cx="7029450" cy="109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815391" y="3931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9ED32" w14:textId="77777777" w:rsidR="00A45D5C" w:rsidRDefault="00255F1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815391" y="5638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F859C" w14:textId="77777777" w:rsidR="00A45D5C" w:rsidRDefault="00255F1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815391" y="73455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C59E4" w14:textId="77777777" w:rsidR="00A45D5C" w:rsidRDefault="00255F1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961636" y="73455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9D132" w14:textId="77777777" w:rsidR="00A45D5C" w:rsidRDefault="00255F1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15391" y="90549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AE5CE" w14:textId="77777777" w:rsidR="00A45D5C" w:rsidRDefault="00255F1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9" style="width:553.5pt;height:82.5439pt;mso-position-horizontal-relative:char;mso-position-vertical-relative:line" coordsize="70294,10483">
                <v:shape id="Picture 7" style="position:absolute;width:65665;height:8921;left:3530;top:0;" filled="f">
                  <v:imagedata r:id="rId9"/>
                </v:shape>
                <v:shape id="Picture 9" style="position:absolute;width:70294;height:1098;left:0;top:9030;" filled="f">
                  <v:imagedata r:id="rId10"/>
                </v:shape>
                <v:rect id="Rectangle 10" style="position:absolute;width:421;height:1899;left:8153;top:39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421;height:1899;left:8153;top:5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421;height:1899;left:8153;top:73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421;height:1899;left:49616;top:73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421;height:1899;left:8153;top:9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6C90C41" w14:textId="77777777" w:rsidR="00A45D5C" w:rsidRDefault="00255F17">
      <w:pPr>
        <w:spacing w:after="156" w:line="259" w:lineRule="auto"/>
        <w:ind w:left="56" w:right="0" w:firstLine="0"/>
        <w:jc w:val="center"/>
      </w:pPr>
      <w:r>
        <w:rPr>
          <w:b/>
        </w:rPr>
        <w:t xml:space="preserve"> </w:t>
      </w:r>
    </w:p>
    <w:p w14:paraId="59E7D987" w14:textId="45B8DE30" w:rsidR="00A45D5C" w:rsidRDefault="00255F17">
      <w:pPr>
        <w:spacing w:after="192" w:line="301" w:lineRule="auto"/>
        <w:ind w:left="1099" w:right="0" w:hanging="982"/>
        <w:jc w:val="left"/>
      </w:pPr>
      <w:r>
        <w:rPr>
          <w:b/>
        </w:rPr>
        <w:t>EL CONADEH SUBRAYA LA IMPORTANCIA DE LA CORTE SUPREMA DE JUST</w:t>
      </w:r>
      <w:r w:rsidR="00D723ED">
        <w:rPr>
          <w:b/>
        </w:rPr>
        <w:t>I</w:t>
      </w:r>
      <w:r>
        <w:rPr>
          <w:b/>
        </w:rPr>
        <w:t xml:space="preserve">CIA EN LA VIGENCIA DEL ESTADO DE DERECHO  </w:t>
      </w:r>
    </w:p>
    <w:p w14:paraId="2E90E790" w14:textId="0BBC096B" w:rsidR="00A45D5C" w:rsidRDefault="00255F17">
      <w:pPr>
        <w:ind w:left="-15" w:right="-10" w:firstLine="0"/>
      </w:pPr>
      <w:r>
        <w:t xml:space="preserve">El Comisionado Nacional de los Derechos Humanos (CONADEH o Comisionado), </w:t>
      </w:r>
      <w:r>
        <w:t xml:space="preserve">en el ejercicio de su mandato constitucional con independencia funcional, técnica y de criterio; ante la rotación de la presidencia y coordinación de las </w:t>
      </w:r>
      <w:r w:rsidR="0008756E">
        <w:t>s</w:t>
      </w:r>
      <w:r>
        <w:t>ala</w:t>
      </w:r>
      <w:r w:rsidR="0008756E">
        <w:t>s</w:t>
      </w:r>
      <w:r>
        <w:t xml:space="preserve"> de la Corte Suprema de Justicia, se pronuncia en los términos siguientes: </w:t>
      </w:r>
    </w:p>
    <w:p w14:paraId="081038C9" w14:textId="77777777" w:rsidR="00A45D5C" w:rsidRDefault="00255F17">
      <w:pPr>
        <w:numPr>
          <w:ilvl w:val="0"/>
          <w:numId w:val="1"/>
        </w:numPr>
        <w:ind w:right="-10" w:hanging="360"/>
      </w:pPr>
      <w:r>
        <w:t>El CONADEH recuerda q</w:t>
      </w:r>
      <w:r>
        <w:t>ue el Estado de Derecho se asienta en tres principios fundamentales, siendo éstos: a) el principio de la limitación del poder, que se concreta en la distribución constitucional del poder; b) el principio de legalidad, que establece que los órganos del Esta</w:t>
      </w:r>
      <w:r>
        <w:t>do deben estar y actuar sometidos a la ley; y, c) el principio de la declaración de los derechos fundamentales de todas las personas</w:t>
      </w:r>
      <w:r>
        <w:rPr>
          <w:vertAlign w:val="superscript"/>
        </w:rPr>
        <w:footnoteReference w:id="1"/>
      </w:r>
      <w:r>
        <w:t xml:space="preserve">. </w:t>
      </w:r>
    </w:p>
    <w:p w14:paraId="715F36B5" w14:textId="6717D4EA" w:rsidR="00A45D5C" w:rsidRDefault="00255F17">
      <w:pPr>
        <w:numPr>
          <w:ilvl w:val="0"/>
          <w:numId w:val="1"/>
        </w:numPr>
        <w:ind w:right="-10" w:hanging="360"/>
      </w:pPr>
      <w:r>
        <w:t xml:space="preserve">Es a través de estos principios que, la Corte Suprema de Justicia ejercita su mandato de aplicar una administración de </w:t>
      </w:r>
      <w:r>
        <w:t>justicia eficiente, independiente y autónoma para el fortalecimiento de la democracia. Esto incluye a su vez, el mandato especial atribuido a la Sala de lo Constitucional, a la cual le corresponde la jurisdicción constitucional; es decir, someter a su cono</w:t>
      </w:r>
      <w:r>
        <w:t>cimiento el Recurso de Habeas Corpus, el Recurso de Amparo, el Recurso de Revisión; y, sobre todo, el Recurso de Inconstitucional</w:t>
      </w:r>
      <w:r w:rsidR="0008756E">
        <w:t>idad</w:t>
      </w:r>
      <w:r>
        <w:t xml:space="preserve"> por leyes que contravienen la norma suprema de la nación</w:t>
      </w:r>
      <w:r>
        <w:rPr>
          <w:vertAlign w:val="superscript"/>
        </w:rPr>
        <w:footnoteReference w:id="2"/>
      </w:r>
      <w:r>
        <w:t xml:space="preserve">. </w:t>
      </w:r>
    </w:p>
    <w:p w14:paraId="6CC2A6BA" w14:textId="77777777" w:rsidR="00A45D5C" w:rsidRDefault="00255F17">
      <w:pPr>
        <w:numPr>
          <w:ilvl w:val="0"/>
          <w:numId w:val="1"/>
        </w:numPr>
        <w:ind w:right="-10" w:hanging="360"/>
      </w:pPr>
      <w:r>
        <w:t xml:space="preserve">Además, el Poder Judicial </w:t>
      </w:r>
      <w:proofErr w:type="gramStart"/>
      <w:r>
        <w:t>y</w:t>
      </w:r>
      <w:proofErr w:type="gramEnd"/>
      <w:r>
        <w:t xml:space="preserve"> por consiguiente, la Corte Suprema de</w:t>
      </w:r>
      <w:r>
        <w:t xml:space="preserve"> Justicia, es el Poder del Estado configurado para limitar los abusos de autoridad provenientes del resto de las y los funcionarios públicos; garantizar la legalidad de los actos de la administración estatal; y, proteger efectivamente los derechos de todas</w:t>
      </w:r>
      <w:r>
        <w:t xml:space="preserve"> las personas</w:t>
      </w:r>
      <w:r>
        <w:rPr>
          <w:vertAlign w:val="superscript"/>
        </w:rPr>
        <w:footnoteReference w:id="3"/>
      </w:r>
      <w:r>
        <w:t xml:space="preserve">.  </w:t>
      </w:r>
    </w:p>
    <w:p w14:paraId="028319D9" w14:textId="2F1AACC6" w:rsidR="00A45D5C" w:rsidRDefault="00255F17">
      <w:pPr>
        <w:numPr>
          <w:ilvl w:val="0"/>
          <w:numId w:val="1"/>
        </w:numPr>
        <w:ind w:right="-10" w:hanging="360"/>
      </w:pPr>
      <w:r>
        <w:t>Por tanto</w:t>
      </w:r>
      <w:r>
        <w:t xml:space="preserve">, el CONADEH recomienda a las y los </w:t>
      </w:r>
      <w:r w:rsidR="0008756E">
        <w:t>m</w:t>
      </w:r>
      <w:r>
        <w:t>agistrados de la Corte Suprema de Justicia aplicar a todos sus actos y decisiones, la Constitución de la República, los estándares internacionales más actualizados sobre el funcio</w:t>
      </w:r>
      <w:r>
        <w:t xml:space="preserve">namiento de las Altas Cortes, su reglamento interno y los principios en los cuales descansa el Estado de Derecho y la democracia. </w:t>
      </w:r>
    </w:p>
    <w:p w14:paraId="7A833913" w14:textId="77777777" w:rsidR="00A45D5C" w:rsidRDefault="00255F17">
      <w:pPr>
        <w:spacing w:after="1375" w:line="301" w:lineRule="auto"/>
        <w:ind w:left="938" w:right="0" w:firstLine="0"/>
        <w:jc w:val="left"/>
      </w:pPr>
      <w:r>
        <w:rPr>
          <w:b/>
        </w:rPr>
        <w:lastRenderedPageBreak/>
        <w:t xml:space="preserve">*** Tegucigalpa M.D.C, a los 16 días del mes de febrero de 2024 *** </w:t>
      </w:r>
    </w:p>
    <w:p w14:paraId="1731844B" w14:textId="77777777" w:rsidR="00A45D5C" w:rsidRDefault="00255F1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21575E3" wp14:editId="6C5878DA">
                <wp:extent cx="1829054" cy="9144"/>
                <wp:effectExtent l="0" t="0" r="0" b="0"/>
                <wp:docPr id="1820" name="Group 1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2017" name="Shape 2017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0" style="width:144.02pt;height:0.720032pt;mso-position-horizontal-relative:char;mso-position-vertical-relative:line" coordsize="18290,91">
                <v:shape id="Shape 2018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sectPr w:rsidR="00A45D5C">
      <w:footnotePr>
        <w:numRestart w:val="eachPage"/>
      </w:footnotePr>
      <w:pgSz w:w="11906" w:h="16838"/>
      <w:pgMar w:top="132" w:right="169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4BC2" w14:textId="77777777" w:rsidR="00255F17" w:rsidRDefault="00255F17">
      <w:pPr>
        <w:spacing w:after="0" w:line="240" w:lineRule="auto"/>
      </w:pPr>
      <w:r>
        <w:separator/>
      </w:r>
    </w:p>
  </w:endnote>
  <w:endnote w:type="continuationSeparator" w:id="0">
    <w:p w14:paraId="102D3F3A" w14:textId="77777777" w:rsidR="00255F17" w:rsidRDefault="0025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EE66" w14:textId="77777777" w:rsidR="00255F17" w:rsidRDefault="00255F17">
      <w:pPr>
        <w:spacing w:after="0" w:line="255" w:lineRule="auto"/>
        <w:ind w:left="0" w:right="0" w:firstLine="0"/>
        <w:jc w:val="left"/>
      </w:pPr>
      <w:r>
        <w:separator/>
      </w:r>
    </w:p>
  </w:footnote>
  <w:footnote w:type="continuationSeparator" w:id="0">
    <w:p w14:paraId="5F65BC3A" w14:textId="77777777" w:rsidR="00255F17" w:rsidRDefault="00255F17">
      <w:pPr>
        <w:spacing w:after="0" w:line="255" w:lineRule="auto"/>
        <w:ind w:left="0" w:right="0" w:firstLine="0"/>
        <w:jc w:val="left"/>
      </w:pPr>
      <w:r>
        <w:continuationSeparator/>
      </w:r>
    </w:p>
  </w:footnote>
  <w:footnote w:id="1">
    <w:p w14:paraId="576EC097" w14:textId="77777777" w:rsidR="00A45D5C" w:rsidRDefault="00255F17">
      <w:pPr>
        <w:pStyle w:val="footnotedescription"/>
        <w:spacing w:line="255" w:lineRule="auto"/>
      </w:pPr>
      <w:r>
        <w:rPr>
          <w:rStyle w:val="footnotemark"/>
        </w:rPr>
        <w:footnoteRef/>
      </w:r>
      <w:r>
        <w:t xml:space="preserve"> </w:t>
      </w:r>
      <w:r>
        <w:rPr>
          <w:rFonts w:ascii="Cambria" w:eastAsia="Cambria" w:hAnsi="Cambria" w:cs="Cambria"/>
          <w:color w:val="000000"/>
          <w:u w:val="none" w:color="000000"/>
        </w:rPr>
        <w:t xml:space="preserve">CIDH. </w:t>
      </w:r>
      <w:hyperlink r:id="rId1">
        <w:r>
          <w:rPr>
            <w:rFonts w:ascii="Cambria" w:eastAsia="Cambria" w:hAnsi="Cambria" w:cs="Cambria"/>
          </w:rPr>
          <w:t xml:space="preserve">Informe sobre la </w:t>
        </w:r>
        <w:proofErr w:type="spellStart"/>
        <w:r>
          <w:rPr>
            <w:rFonts w:ascii="Cambria" w:eastAsia="Cambria" w:hAnsi="Cambria" w:cs="Cambria"/>
          </w:rPr>
          <w:t>situacio</w:t>
        </w:r>
        <w:proofErr w:type="spellEnd"/>
        <w:r>
          <w:rPr>
            <w:rFonts w:ascii="Cambria" w:eastAsia="Cambria" w:hAnsi="Cambria" w:cs="Cambria"/>
          </w:rPr>
          <w:t xml:space="preserve"> n de los derechos humanos en Venezuela</w:t>
        </w:r>
      </w:hyperlink>
      <w:hyperlink r:id="rId2">
        <w:r>
          <w:rPr>
            <w:rFonts w:ascii="Cambria" w:eastAsia="Cambria" w:hAnsi="Cambria" w:cs="Cambria"/>
            <w:color w:val="000000"/>
            <w:u w:val="none" w:color="000000"/>
          </w:rPr>
          <w:t xml:space="preserve">. </w:t>
        </w:r>
      </w:hyperlink>
      <w:r>
        <w:rPr>
          <w:rFonts w:ascii="Cambria" w:eastAsia="Cambria" w:hAnsi="Cambria" w:cs="Cambria"/>
          <w:color w:val="000000"/>
          <w:u w:val="none" w:color="000000"/>
        </w:rPr>
        <w:t xml:space="preserve">OEA/ </w:t>
      </w:r>
      <w:proofErr w:type="spellStart"/>
      <w:r>
        <w:rPr>
          <w:rFonts w:ascii="Cambria" w:eastAsia="Cambria" w:hAnsi="Cambria" w:cs="Cambria"/>
          <w:color w:val="000000"/>
          <w:u w:val="none" w:color="000000"/>
        </w:rPr>
        <w:t>Ser.L</w:t>
      </w:r>
      <w:proofErr w:type="spellEnd"/>
      <w:r>
        <w:rPr>
          <w:rFonts w:ascii="Cambria" w:eastAsia="Cambria" w:hAnsi="Cambria" w:cs="Cambria"/>
          <w:color w:val="000000"/>
          <w:u w:val="none" w:color="000000"/>
        </w:rPr>
        <w:t xml:space="preserve">/V/II.118. Doc. 4 </w:t>
      </w:r>
      <w:proofErr w:type="spellStart"/>
      <w:r>
        <w:rPr>
          <w:rFonts w:ascii="Cambria" w:eastAsia="Cambria" w:hAnsi="Cambria" w:cs="Cambria"/>
          <w:color w:val="000000"/>
          <w:u w:val="none" w:color="000000"/>
        </w:rPr>
        <w:t>rev.</w:t>
      </w:r>
      <w:proofErr w:type="spellEnd"/>
      <w:r>
        <w:rPr>
          <w:rFonts w:ascii="Cambria" w:eastAsia="Cambria" w:hAnsi="Cambria" w:cs="Cambria"/>
          <w:color w:val="000000"/>
          <w:u w:val="none" w:color="000000"/>
        </w:rPr>
        <w:t xml:space="preserve"> 2. 29 diciembre 200</w:t>
      </w:r>
      <w:r>
        <w:rPr>
          <w:rFonts w:ascii="Cambria" w:eastAsia="Cambria" w:hAnsi="Cambria" w:cs="Cambria"/>
          <w:color w:val="000000"/>
          <w:u w:val="none" w:color="000000"/>
        </w:rPr>
        <w:t xml:space="preserve">3. </w:t>
      </w:r>
      <w:proofErr w:type="spellStart"/>
      <w:r>
        <w:rPr>
          <w:rFonts w:ascii="Cambria" w:eastAsia="Cambria" w:hAnsi="Cambria" w:cs="Cambria"/>
          <w:color w:val="000000"/>
          <w:u w:val="none" w:color="000000"/>
        </w:rPr>
        <w:t>Pa</w:t>
      </w:r>
      <w:proofErr w:type="spellEnd"/>
      <w:r>
        <w:rPr>
          <w:rFonts w:ascii="Cambria" w:eastAsia="Cambria" w:hAnsi="Cambria" w:cs="Cambria"/>
          <w:color w:val="000000"/>
          <w:u w:val="none" w:color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u w:val="none" w:color="000000"/>
        </w:rPr>
        <w:t>rr</w:t>
      </w:r>
      <w:proofErr w:type="spellEnd"/>
      <w:r>
        <w:rPr>
          <w:rFonts w:ascii="Cambria" w:eastAsia="Cambria" w:hAnsi="Cambria" w:cs="Cambria"/>
          <w:color w:val="000000"/>
          <w:u w:val="none" w:color="000000"/>
        </w:rPr>
        <w:t xml:space="preserve"> 526.</w:t>
      </w:r>
      <w:r>
        <w:rPr>
          <w:color w:val="000000"/>
          <w:u w:val="none" w:color="000000"/>
        </w:rPr>
        <w:t xml:space="preserve"> </w:t>
      </w:r>
    </w:p>
  </w:footnote>
  <w:footnote w:id="2">
    <w:p w14:paraId="4EDF4B2E" w14:textId="77777777" w:rsidR="00A45D5C" w:rsidRDefault="00255F17">
      <w:pPr>
        <w:pStyle w:val="footnotedescription"/>
        <w:spacing w:after="6"/>
      </w:pPr>
      <w:r>
        <w:rPr>
          <w:rStyle w:val="footnotemark"/>
        </w:rPr>
        <w:footnoteRef/>
      </w:r>
      <w:r>
        <w:t xml:space="preserve"> </w:t>
      </w:r>
      <w:hyperlink r:id="rId3">
        <w:r>
          <w:t>Ley sobre Justicia Constitucional</w:t>
        </w:r>
      </w:hyperlink>
      <w:hyperlink r:id="rId4">
        <w:r>
          <w:rPr>
            <w:color w:val="000000"/>
            <w:u w:val="none" w:color="000000"/>
          </w:rPr>
          <w:t>.</w:t>
        </w:r>
      </w:hyperlink>
      <w:r>
        <w:rPr>
          <w:color w:val="000000"/>
          <w:u w:val="none" w:color="000000"/>
        </w:rPr>
        <w:t xml:space="preserve"> Art 3 y 7</w:t>
      </w:r>
      <w:r>
        <w:rPr>
          <w:color w:val="000000"/>
          <w:u w:val="none" w:color="000000"/>
        </w:rPr>
        <w:t xml:space="preserve"> </w:t>
      </w:r>
    </w:p>
  </w:footnote>
  <w:footnote w:id="3">
    <w:p w14:paraId="6753F3E2" w14:textId="77777777" w:rsidR="00A45D5C" w:rsidRDefault="00255F17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color w:val="000000"/>
          <w:u w:val="none" w:color="000000"/>
        </w:rPr>
        <w:t xml:space="preserve">CIDH. </w:t>
      </w:r>
      <w:hyperlink r:id="rId5">
        <w:r>
          <w:t>Nicaragua</w:t>
        </w:r>
      </w:hyperlink>
      <w:hyperlink r:id="rId6">
        <w:r>
          <w:t xml:space="preserve">: </w:t>
        </w:r>
      </w:hyperlink>
      <w:hyperlink r:id="rId7">
        <w:r>
          <w:t>Concentración del poder y debilitamiento del Estado de Derecho</w:t>
        </w:r>
      </w:hyperlink>
      <w:hyperlink r:id="rId8">
        <w:r>
          <w:rPr>
            <w:color w:val="000000"/>
            <w:u w:val="none" w:color="000000"/>
          </w:rPr>
          <w:t>.</w:t>
        </w:r>
      </w:hyperlink>
      <w:r>
        <w:rPr>
          <w:color w:val="000000"/>
          <w:u w:val="none" w:color="000000"/>
        </w:rPr>
        <w:t xml:space="preserve"> 25 octubre 2021. </w:t>
      </w:r>
    </w:p>
    <w:p w14:paraId="1AC00C95" w14:textId="77777777" w:rsidR="00A45D5C" w:rsidRDefault="00255F17">
      <w:pPr>
        <w:pStyle w:val="footnotedescription"/>
      </w:pPr>
      <w:r>
        <w:rPr>
          <w:color w:val="000000"/>
          <w:u w:val="none" w:color="000000"/>
        </w:rPr>
        <w:t>Párr. 95</w:t>
      </w:r>
      <w:r>
        <w:rPr>
          <w:color w:val="000000"/>
          <w:u w:val="none" w:color="00000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15909"/>
    <w:multiLevelType w:val="hybridMultilevel"/>
    <w:tmpl w:val="F570597E"/>
    <w:lvl w:ilvl="0" w:tplc="9F5C20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5E14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2E0F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8CE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1C74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8470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869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6259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EFE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D5C"/>
    <w:rsid w:val="0008756E"/>
    <w:rsid w:val="00255F17"/>
    <w:rsid w:val="00A45D5C"/>
    <w:rsid w:val="00D7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4FB77"/>
  <w15:docId w15:val="{1F02CC81-1370-4991-9088-A93143AF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5" w:line="276" w:lineRule="auto"/>
      <w:ind w:left="370" w:right="5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Calibri" w:eastAsia="Calibri" w:hAnsi="Calibri" w:cs="Calibri"/>
      <w:color w:val="0563C1"/>
      <w:sz w:val="20"/>
      <w:u w:val="single" w:color="0563C1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563C1"/>
      <w:sz w:val="20"/>
      <w:u w:val="single" w:color="0563C1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0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s.org/es/cidh/informes/pdfs/2021_Nicaragua-ES.pdf" TargetMode="External"/><Relationship Id="rId3" Type="http://schemas.openxmlformats.org/officeDocument/2006/relationships/hyperlink" Target="https://www.tsc.gob.hn/web/leyes/Ley%20Sobre%20Justicia%20Constitucional%20(07).pdf" TargetMode="External"/><Relationship Id="rId7" Type="http://schemas.openxmlformats.org/officeDocument/2006/relationships/hyperlink" Target="https://www.oas.org/es/cidh/informes/pdfs/2021_Nicaragua-ES.pdf" TargetMode="External"/><Relationship Id="rId2" Type="http://schemas.openxmlformats.org/officeDocument/2006/relationships/hyperlink" Target="https://www.cidh.org/pdf%20files/Venezuela2003.pdf" TargetMode="External"/><Relationship Id="rId1" Type="http://schemas.openxmlformats.org/officeDocument/2006/relationships/hyperlink" Target="https://www.cidh.org/pdf%20files/Venezuela2003.pdf" TargetMode="External"/><Relationship Id="rId6" Type="http://schemas.openxmlformats.org/officeDocument/2006/relationships/hyperlink" Target="https://www.oas.org/es/cidh/informes/pdfs/2021_Nicaragua-ES.pdf" TargetMode="External"/><Relationship Id="rId5" Type="http://schemas.openxmlformats.org/officeDocument/2006/relationships/hyperlink" Target="https://www.oas.org/es/cidh/informes/pdfs/2021_Nicaragua-ES.pdf" TargetMode="External"/><Relationship Id="rId4" Type="http://schemas.openxmlformats.org/officeDocument/2006/relationships/hyperlink" Target="https://www.tsc.gob.hn/web/leyes/Ley%20Sobre%20Justicia%20Constitucional%20(07)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Cáceres</dc:creator>
  <cp:keywords/>
  <cp:lastModifiedBy>Comunicaciones 2</cp:lastModifiedBy>
  <cp:revision>2</cp:revision>
  <dcterms:created xsi:type="dcterms:W3CDTF">2024-02-16T22:01:00Z</dcterms:created>
  <dcterms:modified xsi:type="dcterms:W3CDTF">2024-02-16T22:01:00Z</dcterms:modified>
</cp:coreProperties>
</file>